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301" w:rsidRPr="005B465C" w:rsidRDefault="00F91703" w:rsidP="00F91703">
      <w:pPr>
        <w:ind w:right="-1"/>
        <w:divId w:val="1874220751"/>
        <w:rPr>
          <w:bCs/>
        </w:rPr>
      </w:pPr>
      <w:r w:rsidRPr="005B465C">
        <w:rPr>
          <w:bCs/>
        </w:rPr>
        <w:t>Supplemental Table 4: Detailed GRADE Assessment and Justification for Downgrades of Each Outcome.</w:t>
      </w:r>
    </w:p>
    <w:tbl>
      <w:tblPr>
        <w:tblW w:w="5000" w:type="pct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27"/>
        <w:gridCol w:w="872"/>
        <w:gridCol w:w="1018"/>
        <w:gridCol w:w="1019"/>
        <w:gridCol w:w="1019"/>
        <w:gridCol w:w="1019"/>
        <w:gridCol w:w="1601"/>
        <w:gridCol w:w="1164"/>
        <w:gridCol w:w="1164"/>
        <w:gridCol w:w="1164"/>
        <w:gridCol w:w="873"/>
        <w:gridCol w:w="1455"/>
        <w:gridCol w:w="1455"/>
      </w:tblGrid>
      <w:tr w:rsidR="00FA0301">
        <w:trPr>
          <w:divId w:val="1442917628"/>
          <w:cantSplit/>
          <w:tblHeader/>
        </w:trPr>
        <w:tc>
          <w:tcPr>
            <w:tcW w:w="0" w:type="auto"/>
            <w:gridSpan w:val="7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Certainty assessment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№ of patients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Effect</w:t>
            </w:r>
          </w:p>
        </w:tc>
        <w:tc>
          <w:tcPr>
            <w:tcW w:w="500" w:type="pct"/>
            <w:vMerge w:val="restar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Certainty</w:t>
            </w:r>
          </w:p>
        </w:tc>
        <w:tc>
          <w:tcPr>
            <w:tcW w:w="0" w:type="auto"/>
            <w:vMerge w:val="restar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Importance</w:t>
            </w:r>
          </w:p>
        </w:tc>
      </w:tr>
      <w:tr w:rsidR="00FA0301">
        <w:trPr>
          <w:divId w:val="1442917628"/>
          <w:cantSplit/>
          <w:tblHeader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№ of studies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Study design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Risk of bias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Inconsistency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Indirectness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Imprecision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Other considerations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waterpipe smoker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non smoker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Relative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br/>
              <w:t>(95% CI)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F5496"/>
            <w:vAlign w:val="center"/>
            <w:hideMark/>
          </w:tcPr>
          <w:p w:rsidR="00FA0301" w:rsidRDefault="001C106D">
            <w:pPr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t>Absolute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  <w:br/>
              <w:t>(95% CI)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b/>
                <w:bCs/>
                <w:color w:val="FFFFFF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124546234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Body Mass Index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2697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32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528593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465297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</w:t>
            </w:r>
            <w:bookmarkStart w:id="0" w:name="_GoBack"/>
            <w:bookmarkEnd w:id="0"/>
            <w:r>
              <w:rPr>
                <w:rFonts w:ascii="Arial Narrow" w:eastAsia="Times New Roman" w:hAnsi="Arial Narrow"/>
                <w:sz w:val="13"/>
                <w:szCs w:val="13"/>
              </w:rPr>
              <w:t>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677170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79394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58526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c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14427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8584657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3061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161671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6940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101502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7624377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0.08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(0.03 lower to 0.2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376229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c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417337806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Waist Circumference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03218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8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238703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643281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592307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613902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014753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73265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93918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1215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37527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3437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2403264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51743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0.11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(0.11 lower to 0.33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956603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904682517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Weight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344220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20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125277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2310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3117753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848333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799824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27081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6597624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1803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229986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2395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604229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1632832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0.43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(0.16 higher to 0.7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32620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34907126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Birth weight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852846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36434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01583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3203230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729743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15960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40334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334546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649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048094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1767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082810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303721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0.41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(0.71 lower to 0.11 lower)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5194973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⨁⨁◯◯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10756596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Diastolic Blood Pressure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926023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21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20013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0848377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097113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662421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2928694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7876531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75448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3069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601014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16422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3048721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28238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(0.2 lower to 0.41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33889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8908273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Systolic Blood Pressure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167257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21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682553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6183866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798277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430493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294984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10978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163533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3069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046603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16422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794700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5753927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0.14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(0.37 lower to 0.65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459831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81634035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Overall mortality (follow-up: range 12 months to 132 months)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4636134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02127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01464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761602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279662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994056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36814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90583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759/8082 (9.4%)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254312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4533/74599 (6.1%) 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44893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HR 1.47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(1.23 to 1.76)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441461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27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13 more to 44 more)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1457133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4693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5.9%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2870923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27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13 more to 43 more)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841244178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active progressive motility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360302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730967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51184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071971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737386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620474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853105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096679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539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61543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864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9972873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9834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0.33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(3.04 lower to 3.7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417283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798180408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count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569485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7726736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143703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541594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1681837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273709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082075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527583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345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916993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669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164956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650831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0.26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(113 lower to 1.65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670319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47279245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DNA fragmentation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80023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43785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284253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706812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513632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4970938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130883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1618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357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157293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355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18499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067033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3.36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(0.29 higher to 6.43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384391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491211030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immotile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571976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24270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5270857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066800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466837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283427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921044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635650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441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3039441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430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502722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3474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1.24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(0.52 lower to 3.01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208862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89766780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total motility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615065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309604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092619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132586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699426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053264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32599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954938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387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695540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380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05073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807344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1.58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(3.88 lower to 0.72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92005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05056981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non-progressive motility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969176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820981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033235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31048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783932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075277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3995727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922011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387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004539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380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2546583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834077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0.01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(0.46 lower to 0.49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570638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45046878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Sperm normal form (NL morphology)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3418729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97680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99104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47673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143608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8696618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393307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772794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590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658522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919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370655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695848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0.71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(1.33 lower to 0.1 lower)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9709131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38194718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FEF25-75 (volume)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81786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789107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265469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787366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717376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234412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841073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8172500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605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424525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773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371461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253921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0.63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(0.44 lower to 1.7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561179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25841014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FEV1 on FVC fraction (observed)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961509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7429508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768915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023498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937352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2102021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17335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01548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584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575696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827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574895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3953887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(0.4 lower to 0.2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9690453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2112312590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FEV1 on FVC fraction (predicted)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86767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9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9169171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653446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754543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58534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874357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480207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76431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987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56825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1307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394206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562920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0.5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(1.03 lower to 0.13 lower)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8708473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254945338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FEV1 (predicted)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375480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8156651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770293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73609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67573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164650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709818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374851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1406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1381321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1947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723496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62338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0.35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(0.59 lower to 0.1 lower)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847129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748258934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FEV1 (volume)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712058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38547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4292091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883444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5784451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4434140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194288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206273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881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083568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1126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697384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297225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0.31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(1.02 lower to 0.39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53840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503936773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FVC (predicted)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851130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12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398979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131612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034793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414412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738921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76489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3397523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1269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011466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1556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734643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395676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0.18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(0.53 lower to 0.17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371686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418163239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FVC (volume)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239802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223219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040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849670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97657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50655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610302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206174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881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43510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1126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27224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441231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0.08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(0.32 lower to 0.48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698220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70035155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lastRenderedPageBreak/>
              <w:t>PEF (predicted)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11218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8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65124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49772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503526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860332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244555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380421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3898701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938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90765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1155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6676419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022695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0.38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(0.48 lower to 0.08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390043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874070870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PEF (volume)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176964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53689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079747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120332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386013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918250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5832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17460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755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3154430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923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171424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416937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0.08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(0.61 lower to 0.78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218564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08359473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Gingival index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87427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299217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161246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7096327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20186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779339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989252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97341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257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37235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239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309145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027997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10.21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(11.23 lower to 31.64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99127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384215540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Total distal CBL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59613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91922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046239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343588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639588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8825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205994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055928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140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8123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142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305279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541058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7.39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(3.99 higher to 13.83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46360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92264134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Total mesial CBL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653787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79437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964212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824321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2823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97542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44484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473032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140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448702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142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4437457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728914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6.47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(1.23 higher to 11.71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57951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50043468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Bleeding on probing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19329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14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39411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45960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8134766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58534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2739246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94350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4917617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509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615456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716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08166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490308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3.23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(5.32 lower to 1.14 lower)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10715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55643279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Clinical attachment loss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729955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2722956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7071999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373109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55596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21020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259437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999601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196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64970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435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122947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24892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3.12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(1.03 higher to 5.22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026149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669068584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Distal MBL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27751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667953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098795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8253901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9029157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201606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370380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9610680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245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833922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242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4613267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1760334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7.92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(3.59 higher to 12.24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797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593825964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Mesial MBL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148162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951643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391154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58529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244006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867482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9312540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419388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245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123360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242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429026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179145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7.93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(4.1 higher to 11.75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081353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520048443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MBL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321985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947763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149831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69980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3507204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35767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56563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664739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124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445788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174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224459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501134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2.74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(0.67 higher to 4.8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643200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377357203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Plaque Index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1454108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18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067796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9597429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704038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7679065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246172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42283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227844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705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478455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933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351697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8179957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3.25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(1.86 higher to 4.65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15236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801877379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lastRenderedPageBreak/>
              <w:t>Probing depth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67778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60982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3844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49988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00545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47976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817623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218524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521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095095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712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4079421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904709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3.46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(2.02 higher to 4.89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29993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24688911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Gastric cancer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895372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6690067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000251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603809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895036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228823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055646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681169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1093 cases 2671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01633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2.11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(1.02 to 4.40)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3903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479308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441305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28640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7835546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432362009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Hypertension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943623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6317426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597625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154440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7788521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544143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c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i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599636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51685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655/4066 (16.1%)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107799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466827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0.82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(0.64 to 1.04)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561996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3213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c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997954069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Lung cancer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581996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8738906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78425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876484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120493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5393359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3499846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194907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1678 cases 9594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891145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2.61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(1.28 to 5.34)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8193827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782468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674596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0486931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7234156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36068828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Bladder cancer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31784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47417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016639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9680437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2704064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522947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9226681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778542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1716 cases 4738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603079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1.57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(1.14 to 2.18)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036273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873566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259997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577508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113984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27171548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lastRenderedPageBreak/>
              <w:t>Cardiovascular disease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4580253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21680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229575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16310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97313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0823989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i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394463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498510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282/3469 (8.1%)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496185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1263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1.14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(0.95 to 1.32)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38686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81887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310551817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Depression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002727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268948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2150306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945149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411139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897866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i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07631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65655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0/11049 (0.0%)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3757916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0/74335 (0.0%)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437946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1.09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(0.88 to 1.34)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84531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9186056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i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651328748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Diabetes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489207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805524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804849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8118005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4376113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157745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97437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152407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544/2884 (18.9%)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018516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4815/32927 (14.6%)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794961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1.42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(1.03 to 1.95)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6608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49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4 more to 104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154046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04132465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Dyslipidemia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9336545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224214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609153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997090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880931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947128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6076296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63563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888/1776 (50.0%)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753809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802/17317 (4.6%)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94639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0.96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(0.64 to 1.45)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087271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2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16 fewer to 19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32942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212161049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Metabolic syndrome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213690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266232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5483928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356900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572121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592616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09974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093577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1211/3081 (39.3%)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1139764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4542/13103 (34.7%)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91339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1.31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(1.17 to 1.47)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018554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63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36 more to 92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00831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366516447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Cardiovascular disease mortality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536738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547266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49863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057727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06236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269053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207994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250220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134/3938 (3.4%)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3015496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1123/7887 (14.2%)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931552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HR 1.23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(1.01 to 1.50)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162942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30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1 more to 63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929134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⨁⨁◯◯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342470986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COPD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9991877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729342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279295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278464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4465185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140328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25170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391012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140/565 (24.8%)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087286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138/2062 (6.7%)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234581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1.97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(0.88 to 4.39)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45498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57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8 fewer to 173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428150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04676084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Chronic bronchitis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569629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896821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59813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10540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94545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9406647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299456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656497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256/3349 (7.6%)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34338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1566/59755 (2.6%)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16149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1.97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(0.88 to 4.39)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483107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24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3 fewer to 79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8039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60329698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Cough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838218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119568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941830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92201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10989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62155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228952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435423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380/2631 (14.4%)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725071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3707/59388 (6.2%)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105596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2.37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(1.17 to 4.83)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577707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74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10 more to 181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9686456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71100386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Dyspnea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824746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4479300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1556952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476080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591283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8334587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238141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5659872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304/225 (135.1%)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804456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67/58551 (0.1%)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401586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1.82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(0.58 to 5.75)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0867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1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5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73085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941381589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Wheeze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3551510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89735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045712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04203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612569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036939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832227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896576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113/458 (24.7%)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518575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162/937 (17.3%)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7646679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1.92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(0.82 to 4.47)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058448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114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27 fewer to 310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47597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22894407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Cancers mortality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10722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7350652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34181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287336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527613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037405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833837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8151610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195/7795 (2.5%)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7872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332/49769 (0.7%)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368860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HR 2.57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(2.10 to 3.18)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965979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10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7 more to 14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384093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⨁⨁◯◯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453354835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Low birth weight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929554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37452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351040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021733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973400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28663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647277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06788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50/534 (9.4%)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708164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628/8268 (7.6%)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3826541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RR 1.53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(0.92 to 2.55)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9045991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40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6 fewer to 118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492499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243877920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Esophageal cancer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788865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7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008634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7125221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3510766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5169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28155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088497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54844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1593 cases 3236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067433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2.95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(1.36 to 6.40)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7350710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913306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j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858339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93549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2214401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077089139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Stroke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3325435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77993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932264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791782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471624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255914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04686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473970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492 cases 4587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2185723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2.77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(1.66 to 4.63)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8930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503440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9059668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34103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465220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84046232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Heart rate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5454225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16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212141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960623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360299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068037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455390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705065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all plausible residual confounding would reduce the demonstrated effect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498416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2409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2282369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14377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8947068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419226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0.14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(0.1 lower to 0.37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78315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949772220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Semen volume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3640185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2753386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022751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73206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0902896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304082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119392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0761422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447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5817214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443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475861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911218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0.5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(1.29 lower to 0.26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01754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334461366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Coronary Artery Disease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64962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8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34397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197876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82883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1558273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800607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2967620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877429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5933 cases 65459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043092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1.56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(1.36 to 1.79)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906502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854071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⨁⨁◯◯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3952075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911195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2066563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81082628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Multiple sclerosis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332700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5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91782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16195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6467254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963859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1987008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5509953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44469009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1134 cases 2343 controls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25774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1.37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(0.89 to 2.20)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6432856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706252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833602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1576464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1019683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1410179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Infertility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5874976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619873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1764161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2236119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085095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67966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830777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9918828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133 cases 271 controls 26/0 exposed 89/0 unexposed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867061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1.67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(1.05 to 2.65)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5505390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86894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7949024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4310814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2405911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0301" w:rsidRDefault="00FA0301">
            <w:pPr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854413913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Asthma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683526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lastRenderedPageBreak/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165551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4175212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6471007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199542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8035437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43991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13274100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953/3733 (25.5%)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387100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13109/67348 (19.5%)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636143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1.01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(0.39 to 2.62)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3077894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2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109 fewer to 193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46852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770076306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Sputum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4103817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9765132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4080966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7869768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2274077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4181957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7129098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222652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69/323 (21.4%)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26036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122/637 (19.2%)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44025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3.17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(1.49 to 6.72)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9530557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237 more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69 more to 423 more)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957382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e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g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413548052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FEF25-75 (predicted)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917154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32231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43031853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83522026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950749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496528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extremely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898679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9987801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645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94241976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861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1692829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74692659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0.17 SD lower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(0.49 lower to 0.16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819091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823350191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Probing depth &gt;4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1719835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23460328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0959054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5845563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48874509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3644795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2987605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5516940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203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6775132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216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113789802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6613657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 xml:space="preserve">SMD </w:t>
            </w:r>
            <w:r>
              <w:rPr>
                <w:rStyle w:val="cell-value"/>
                <w:rFonts w:ascii="Arial Narrow" w:eastAsia="Times New Roman" w:hAnsi="Arial Narrow"/>
                <w:b/>
                <w:bCs/>
                <w:sz w:val="13"/>
                <w:szCs w:val="13"/>
              </w:rPr>
              <w:t>4.24 SD higher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(2.3 higher to 6.19 higher)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536624817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b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  <w:tr w:rsidR="00FA0301">
        <w:trPr>
          <w:divId w:val="1442917628"/>
          <w:cantSplit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FA0301" w:rsidRDefault="001C106D">
            <w:pPr>
              <w:divId w:val="1735197886"/>
              <w:rPr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</w:pPr>
            <w:r>
              <w:rPr>
                <w:rStyle w:val="label"/>
                <w:rFonts w:ascii="Arial Narrow" w:eastAsia="Times New Roman" w:hAnsi="Arial Narrow"/>
                <w:b/>
                <w:bCs/>
                <w:color w:val="000000"/>
                <w:sz w:val="13"/>
                <w:szCs w:val="13"/>
              </w:rPr>
              <w:t>HCV</w:t>
            </w:r>
          </w:p>
        </w:tc>
      </w:tr>
      <w:tr w:rsidR="00FA0301">
        <w:trPr>
          <w:divId w:val="1442917628"/>
          <w:cantSplit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206301840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966502671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non-randomised studies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884369546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3773357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62701375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not serious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34590634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very serious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50194134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>publication bias strongly suspected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all plausible residual confounding would reduce the demonstrated effect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369530799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sz w:val="13"/>
                <w:szCs w:val="13"/>
              </w:rPr>
              <w:t xml:space="preserve">0/341 (0.0%)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68867895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cell-value"/>
                <w:rFonts w:ascii="Arial Narrow" w:eastAsia="Times New Roman" w:hAnsi="Arial Narrow"/>
                <w:sz w:val="13"/>
                <w:szCs w:val="13"/>
              </w:rPr>
              <w:t>0.0%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8908084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block"/>
                <w:rFonts w:ascii="Arial Narrow" w:eastAsia="Times New Roman" w:hAnsi="Arial Narrow"/>
                <w:b/>
                <w:bCs/>
                <w:sz w:val="13"/>
                <w:szCs w:val="13"/>
              </w:rPr>
              <w:t>OR 1.05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cell"/>
                <w:rFonts w:ascii="Arial Narrow" w:eastAsia="Times New Roman" w:hAnsi="Arial Narrow"/>
                <w:sz w:val="13"/>
                <w:szCs w:val="13"/>
              </w:rPr>
              <w:t>(0.79 to 1.38)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77990648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Fonts w:ascii="Arial Narrow" w:eastAsia="Times New Roman" w:hAnsi="Arial Narrow"/>
                <w:b/>
                <w:bCs/>
                <w:sz w:val="13"/>
                <w:szCs w:val="13"/>
              </w:rPr>
              <w:t>0 fewer per 1,000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  <w:t>(from 0 fewer to 0 fewer)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1C106D">
            <w:pPr>
              <w:jc w:val="center"/>
              <w:divId w:val="1203859610"/>
              <w:rPr>
                <w:rFonts w:ascii="Arial Narrow" w:eastAsia="Times New Roman" w:hAnsi="Arial Narrow"/>
                <w:sz w:val="13"/>
                <w:szCs w:val="13"/>
              </w:rPr>
            </w:pPr>
            <w:r>
              <w:rPr>
                <w:rStyle w:val="quality-sign"/>
                <w:rFonts w:ascii="Cambria Math" w:eastAsia="Times New Roman" w:hAnsi="Cambria Math" w:cs="Cambria Math"/>
                <w:sz w:val="21"/>
                <w:szCs w:val="21"/>
              </w:rPr>
              <w:t>⨁◯◯◯</w:t>
            </w:r>
            <w:r>
              <w:rPr>
                <w:rFonts w:ascii="Arial Narrow" w:eastAsia="Times New Roman" w:hAnsi="Arial Narrow"/>
                <w:sz w:val="13"/>
                <w:szCs w:val="13"/>
              </w:rPr>
              <w:br/>
            </w:r>
            <w:r>
              <w:rPr>
                <w:rStyle w:val="quality-text"/>
                <w:rFonts w:ascii="Arial Narrow" w:eastAsia="Times New Roman" w:hAnsi="Arial Narrow"/>
                <w:sz w:val="13"/>
                <w:szCs w:val="13"/>
              </w:rPr>
              <w:t>Very low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a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d</w:t>
            </w:r>
            <w:r>
              <w:rPr>
                <w:rStyle w:val="comma"/>
                <w:rFonts w:ascii="Arial Narrow" w:eastAsia="Times New Roman" w:hAnsi="Arial Narrow"/>
                <w:sz w:val="13"/>
                <w:szCs w:val="13"/>
                <w:vertAlign w:val="superscript"/>
              </w:rPr>
              <w:t>,</w:t>
            </w:r>
            <w:r>
              <w:rPr>
                <w:rFonts w:ascii="Arial Narrow" w:eastAsia="Times New Roman" w:hAnsi="Arial Narrow"/>
                <w:sz w:val="13"/>
                <w:szCs w:val="13"/>
                <w:vertAlign w:val="superscript"/>
              </w:rPr>
              <w:t>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0301" w:rsidRDefault="00FA0301">
            <w:pPr>
              <w:jc w:val="center"/>
              <w:rPr>
                <w:rFonts w:ascii="Arial Narrow" w:eastAsia="Times New Roman" w:hAnsi="Arial Narrow"/>
                <w:sz w:val="13"/>
                <w:szCs w:val="13"/>
              </w:rPr>
            </w:pPr>
          </w:p>
        </w:tc>
      </w:tr>
    </w:tbl>
    <w:p w:rsidR="00FA0301" w:rsidRDefault="001C106D">
      <w:pPr>
        <w:pStyle w:val="NormalWeb"/>
        <w:spacing w:line="140" w:lineRule="atLeast"/>
        <w:divId w:val="1442917628"/>
        <w:rPr>
          <w:rFonts w:ascii="Arial Narrow" w:hAnsi="Arial Narrow"/>
          <w:color w:val="000000"/>
          <w:sz w:val="14"/>
          <w:szCs w:val="14"/>
          <w:lang w:val="en"/>
        </w:rPr>
      </w:pPr>
      <w:r>
        <w:rPr>
          <w:rFonts w:ascii="Arial Narrow" w:hAnsi="Arial Narrow"/>
          <w:b/>
          <w:bCs/>
          <w:color w:val="000000"/>
          <w:sz w:val="14"/>
          <w:szCs w:val="14"/>
          <w:lang w:val="en"/>
        </w:rPr>
        <w:t>CI:</w:t>
      </w:r>
      <w:r>
        <w:rPr>
          <w:rFonts w:ascii="Arial Narrow" w:hAnsi="Arial Narrow"/>
          <w:color w:val="000000"/>
          <w:sz w:val="14"/>
          <w:szCs w:val="14"/>
          <w:lang w:val="en"/>
        </w:rPr>
        <w:t xml:space="preserve"> confidence interval; </w:t>
      </w:r>
      <w:r>
        <w:rPr>
          <w:rFonts w:ascii="Arial Narrow" w:hAnsi="Arial Narrow"/>
          <w:b/>
          <w:bCs/>
          <w:color w:val="000000"/>
          <w:sz w:val="14"/>
          <w:szCs w:val="14"/>
          <w:lang w:val="en"/>
        </w:rPr>
        <w:t>HR:</w:t>
      </w:r>
      <w:r>
        <w:rPr>
          <w:rFonts w:ascii="Arial Narrow" w:hAnsi="Arial Narrow"/>
          <w:color w:val="000000"/>
          <w:sz w:val="14"/>
          <w:szCs w:val="14"/>
          <w:lang w:val="en"/>
        </w:rPr>
        <w:t xml:space="preserve"> hazard ratio; </w:t>
      </w:r>
      <w:r>
        <w:rPr>
          <w:rFonts w:ascii="Arial Narrow" w:hAnsi="Arial Narrow"/>
          <w:b/>
          <w:bCs/>
          <w:color w:val="000000"/>
          <w:sz w:val="14"/>
          <w:szCs w:val="14"/>
          <w:lang w:val="en"/>
        </w:rPr>
        <w:t>MD:</w:t>
      </w:r>
      <w:r>
        <w:rPr>
          <w:rFonts w:ascii="Arial Narrow" w:hAnsi="Arial Narrow"/>
          <w:color w:val="000000"/>
          <w:sz w:val="14"/>
          <w:szCs w:val="14"/>
          <w:lang w:val="en"/>
        </w:rPr>
        <w:t xml:space="preserve"> mean difference; </w:t>
      </w:r>
      <w:r>
        <w:rPr>
          <w:rFonts w:ascii="Arial Narrow" w:hAnsi="Arial Narrow"/>
          <w:b/>
          <w:bCs/>
          <w:color w:val="000000"/>
          <w:sz w:val="14"/>
          <w:szCs w:val="14"/>
          <w:lang w:val="en"/>
        </w:rPr>
        <w:t>OR:</w:t>
      </w:r>
      <w:r>
        <w:rPr>
          <w:rFonts w:ascii="Arial Narrow" w:hAnsi="Arial Narrow"/>
          <w:color w:val="000000"/>
          <w:sz w:val="14"/>
          <w:szCs w:val="14"/>
          <w:lang w:val="en"/>
        </w:rPr>
        <w:t xml:space="preserve"> odds ratio; </w:t>
      </w:r>
      <w:r>
        <w:rPr>
          <w:rFonts w:ascii="Arial Narrow" w:hAnsi="Arial Narrow"/>
          <w:b/>
          <w:bCs/>
          <w:color w:val="000000"/>
          <w:sz w:val="14"/>
          <w:szCs w:val="14"/>
          <w:lang w:val="en"/>
        </w:rPr>
        <w:t>RR:</w:t>
      </w:r>
      <w:r>
        <w:rPr>
          <w:rFonts w:ascii="Arial Narrow" w:hAnsi="Arial Narrow"/>
          <w:color w:val="000000"/>
          <w:sz w:val="14"/>
          <w:szCs w:val="14"/>
          <w:lang w:val="en"/>
        </w:rPr>
        <w:t xml:space="preserve"> risk ratio; </w:t>
      </w:r>
      <w:r>
        <w:rPr>
          <w:rFonts w:ascii="Arial Narrow" w:hAnsi="Arial Narrow"/>
          <w:b/>
          <w:bCs/>
          <w:color w:val="000000"/>
          <w:sz w:val="14"/>
          <w:szCs w:val="14"/>
          <w:lang w:val="en"/>
        </w:rPr>
        <w:t>SMD:</w:t>
      </w:r>
      <w:r>
        <w:rPr>
          <w:rFonts w:ascii="Arial Narrow" w:hAnsi="Arial Narrow"/>
          <w:color w:val="000000"/>
          <w:sz w:val="14"/>
          <w:szCs w:val="14"/>
          <w:lang w:val="en"/>
        </w:rPr>
        <w:t xml:space="preserve"> standardised mean difference</w:t>
      </w:r>
    </w:p>
    <w:p w:rsidR="00FA0301" w:rsidRDefault="001C106D">
      <w:pPr>
        <w:pStyle w:val="Heading4"/>
        <w:spacing w:line="140" w:lineRule="atLeast"/>
        <w:rPr>
          <w:rFonts w:ascii="Arial Narrow" w:eastAsia="Times New Roman" w:hAnsi="Arial Narrow"/>
          <w:color w:val="000000"/>
          <w:lang w:val="en"/>
        </w:rPr>
      </w:pPr>
      <w:r>
        <w:rPr>
          <w:rFonts w:ascii="Arial Narrow" w:eastAsia="Times New Roman" w:hAnsi="Arial Narrow"/>
          <w:color w:val="000000"/>
          <w:lang w:val="en"/>
        </w:rPr>
        <w:t>Explanations</w:t>
      </w:r>
    </w:p>
    <w:p w:rsidR="00FA0301" w:rsidRDefault="001C106D">
      <w:pPr>
        <w:spacing w:line="140" w:lineRule="atLeast"/>
        <w:divId w:val="1295401929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a. Serious risk of bias since more than 50% of studies with high risk of bias. Downgraded.</w:t>
      </w:r>
    </w:p>
    <w:p w:rsidR="00FA0301" w:rsidRDefault="001C106D">
      <w:pPr>
        <w:spacing w:line="140" w:lineRule="atLeast"/>
        <w:divId w:val="616956800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lastRenderedPageBreak/>
        <w:t>b. Very serious inconsistency. I2 &gt; 75%. Downgraded.</w:t>
      </w:r>
    </w:p>
    <w:p w:rsidR="00FA0301" w:rsidRDefault="001C106D">
      <w:pPr>
        <w:spacing w:line="140" w:lineRule="atLeast"/>
        <w:divId w:val="1374960392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c. 95% CI include the null value (SMD=0). Downgraded.</w:t>
      </w:r>
    </w:p>
    <w:p w:rsidR="00FA0301" w:rsidRDefault="001C106D">
      <w:pPr>
        <w:spacing w:line="140" w:lineRule="atLeast"/>
        <w:divId w:val="773212771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d. We rated down 2 levels owing to Imprecision.</w:t>
      </w:r>
    </w:p>
    <w:p w:rsidR="00FA0301" w:rsidRDefault="001C106D">
      <w:pPr>
        <w:spacing w:line="140" w:lineRule="atLeast"/>
        <w:divId w:val="1191333030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e. Very serious risk of bias since more than 75% of studies with high risk of bias. Downgraded.</w:t>
      </w:r>
    </w:p>
    <w:p w:rsidR="00FA0301" w:rsidRDefault="001C106D">
      <w:pPr>
        <w:spacing w:line="140" w:lineRule="atLeast"/>
        <w:divId w:val="493838624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f. Publication bias is probable as the selective publication of research studies based on their results.</w:t>
      </w:r>
    </w:p>
    <w:p w:rsidR="00FA0301" w:rsidRDefault="001C106D">
      <w:pPr>
        <w:spacing w:line="140" w:lineRule="atLeast"/>
        <w:divId w:val="927150903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g. Serious inconsistency. 50% &lt; I2 &lt; 75%. Downgraded.</w:t>
      </w:r>
    </w:p>
    <w:p w:rsidR="00FA0301" w:rsidRDefault="001C106D">
      <w:pPr>
        <w:spacing w:line="140" w:lineRule="atLeast"/>
        <w:divId w:val="1691831193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h. The result crossed the line of no effect and was imprecise with very wide confidence intervals.</w:t>
      </w:r>
    </w:p>
    <w:p w:rsidR="00FA0301" w:rsidRDefault="001C106D">
      <w:pPr>
        <w:spacing w:line="140" w:lineRule="atLeast"/>
        <w:divId w:val="1538421872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i. 95% CI include the null value (RR/OR=1).</w:t>
      </w:r>
    </w:p>
    <w:p w:rsidR="001C106D" w:rsidRDefault="001C106D">
      <w:pPr>
        <w:spacing w:line="140" w:lineRule="atLeast"/>
        <w:divId w:val="492532702"/>
        <w:rPr>
          <w:rFonts w:ascii="Arial Narrow" w:eastAsia="Times New Roman" w:hAnsi="Arial Narrow"/>
          <w:color w:val="000000"/>
          <w:sz w:val="14"/>
          <w:szCs w:val="14"/>
          <w:lang w:val="en"/>
        </w:rPr>
      </w:pPr>
      <w:r>
        <w:rPr>
          <w:rFonts w:ascii="Arial Narrow" w:eastAsia="Times New Roman" w:hAnsi="Arial Narrow"/>
          <w:color w:val="000000"/>
          <w:sz w:val="14"/>
          <w:szCs w:val="14"/>
          <w:lang w:val="en"/>
        </w:rPr>
        <w:t>j. Indirectness in the sense that the populations of included studies were not representative of the target population. Downgraded.</w:t>
      </w:r>
    </w:p>
    <w:sectPr w:rsidR="001C106D">
      <w:footerReference w:type="default" r:id="rId7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CFF" w:rsidRDefault="00495CFF" w:rsidP="00031717">
      <w:pPr>
        <w:spacing w:after="0" w:line="240" w:lineRule="auto"/>
      </w:pPr>
      <w:r>
        <w:separator/>
      </w:r>
    </w:p>
  </w:endnote>
  <w:endnote w:type="continuationSeparator" w:id="0">
    <w:p w:rsidR="00495CFF" w:rsidRDefault="00495CFF" w:rsidP="00031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66854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717" w:rsidRDefault="000317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C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31717" w:rsidRDefault="000317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CFF" w:rsidRDefault="00495CFF" w:rsidP="00031717">
      <w:pPr>
        <w:spacing w:after="0" w:line="240" w:lineRule="auto"/>
      </w:pPr>
      <w:r>
        <w:separator/>
      </w:r>
    </w:p>
  </w:footnote>
  <w:footnote w:type="continuationSeparator" w:id="0">
    <w:p w:rsidR="00495CFF" w:rsidRDefault="00495CFF" w:rsidP="000317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7F0D"/>
    <w:rsid w:val="00031717"/>
    <w:rsid w:val="00197F0D"/>
    <w:rsid w:val="001C106D"/>
    <w:rsid w:val="00495CFF"/>
    <w:rsid w:val="005B465C"/>
    <w:rsid w:val="006329FA"/>
    <w:rsid w:val="00F91703"/>
    <w:rsid w:val="00FA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9F12D1-F9FA-4EAE-A86F-B3C40E62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hAnsi="Times New Roman" w:cs="Times New Roman"/>
      <w:b/>
      <w:bCs/>
      <w:sz w:val="24"/>
      <w:szCs w:val="24"/>
    </w:rPr>
  </w:style>
  <w:style w:type="character" w:customStyle="1" w:styleId="sup">
    <w:name w:val="sup"/>
    <w:basedOn w:val="DefaultParagraphFont"/>
  </w:style>
  <w:style w:type="character" w:customStyle="1" w:styleId="label">
    <w:name w:val="label"/>
    <w:basedOn w:val="DefaultParagraphFont"/>
  </w:style>
  <w:style w:type="character" w:customStyle="1" w:styleId="cell-value">
    <w:name w:val="cell-value"/>
    <w:basedOn w:val="DefaultParagraphFont"/>
  </w:style>
  <w:style w:type="character" w:customStyle="1" w:styleId="cell">
    <w:name w:val="cell"/>
    <w:basedOn w:val="DefaultParagraphFont"/>
  </w:style>
  <w:style w:type="character" w:customStyle="1" w:styleId="quality-sign">
    <w:name w:val="quality-sign"/>
    <w:basedOn w:val="DefaultParagraphFont"/>
  </w:style>
  <w:style w:type="character" w:customStyle="1" w:styleId="quality-text">
    <w:name w:val="quality-text"/>
    <w:basedOn w:val="DefaultParagraphFont"/>
  </w:style>
  <w:style w:type="character" w:customStyle="1" w:styleId="comma">
    <w:name w:val="comma"/>
    <w:basedOn w:val="DefaultParagraphFont"/>
  </w:style>
  <w:style w:type="character" w:customStyle="1" w:styleId="block">
    <w:name w:val="block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317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717"/>
  </w:style>
  <w:style w:type="paragraph" w:styleId="Footer">
    <w:name w:val="footer"/>
    <w:basedOn w:val="Normal"/>
    <w:link w:val="FooterChar"/>
    <w:uiPriority w:val="99"/>
    <w:unhideWhenUsed/>
    <w:rsid w:val="000317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13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2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2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2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4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0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1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3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0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6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3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8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4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7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3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4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2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4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8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8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F78A2-11B3-4224-AA30-56496185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2947</Words>
  <Characters>16798</Characters>
  <Application>Microsoft Office Word</Application>
  <DocSecurity>0</DocSecurity>
  <Lines>139</Lines>
  <Paragraphs>39</Paragraphs>
  <ScaleCrop>false</ScaleCrop>
  <Company>Moorche 30 DVDs</Company>
  <LinksUpToDate>false</LinksUpToDate>
  <CharactersWithSpaces>19706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Sepidarkish</cp:lastModifiedBy>
  <cp:revision>5</cp:revision>
  <dcterms:created xsi:type="dcterms:W3CDTF">2025-01-23T16:27:00Z</dcterms:created>
  <dcterms:modified xsi:type="dcterms:W3CDTF">2025-01-26T08:53:00Z</dcterms:modified>
</cp:coreProperties>
</file>